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00" w:rsidRPr="00D7130B" w:rsidRDefault="00E23A9A" w:rsidP="00CA2942">
      <w:pPr>
        <w:rPr>
          <w:rStyle w:val="Hyperlink"/>
          <w:b/>
          <w:color w:val="000000" w:themeColor="text1"/>
          <w:u w:val="none"/>
        </w:rPr>
      </w:pPr>
      <w:bookmarkStart w:id="0" w:name="_GoBack"/>
      <w:bookmarkEnd w:id="0"/>
      <w:r>
        <w:rPr>
          <w:rStyle w:val="Hyperlink"/>
          <w:b/>
          <w:color w:val="000000" w:themeColor="text1"/>
          <w:u w:val="none"/>
        </w:rPr>
        <w:t>February 4</w:t>
      </w:r>
      <w:r w:rsidR="00D7130B" w:rsidRPr="00D7130B">
        <w:rPr>
          <w:rStyle w:val="Hyperlink"/>
          <w:b/>
          <w:color w:val="000000" w:themeColor="text1"/>
          <w:u w:val="none"/>
        </w:rPr>
        <w:t>, 2016</w:t>
      </w:r>
    </w:p>
    <w:p w:rsidR="001C279F" w:rsidRPr="001C279F" w:rsidRDefault="001C279F" w:rsidP="001C279F">
      <w:pPr>
        <w:jc w:val="center"/>
        <w:rPr>
          <w:rStyle w:val="Hyperlink"/>
          <w:b/>
          <w:color w:val="000000" w:themeColor="text1"/>
        </w:rPr>
      </w:pPr>
      <w:r w:rsidRPr="001C279F">
        <w:rPr>
          <w:rStyle w:val="Hyperlink"/>
          <w:b/>
          <w:color w:val="000000" w:themeColor="text1"/>
        </w:rPr>
        <w:t xml:space="preserve">Pork CRC </w:t>
      </w:r>
      <w:r w:rsidR="00D1381F">
        <w:rPr>
          <w:rStyle w:val="Hyperlink"/>
          <w:b/>
          <w:color w:val="000000" w:themeColor="text1"/>
        </w:rPr>
        <w:t xml:space="preserve">Productively </w:t>
      </w:r>
      <w:r w:rsidRPr="001C279F">
        <w:rPr>
          <w:rStyle w:val="Hyperlink"/>
          <w:b/>
          <w:color w:val="000000" w:themeColor="text1"/>
        </w:rPr>
        <w:t xml:space="preserve">Enhancing Pig </w:t>
      </w:r>
      <w:r w:rsidR="00D41E41">
        <w:rPr>
          <w:rStyle w:val="Hyperlink"/>
          <w:b/>
          <w:color w:val="000000" w:themeColor="text1"/>
        </w:rPr>
        <w:t>Welfare</w:t>
      </w:r>
    </w:p>
    <w:p w:rsidR="001C279F" w:rsidRDefault="001C279F" w:rsidP="00CA2942">
      <w:pPr>
        <w:rPr>
          <w:rStyle w:val="Hyperlink"/>
          <w:color w:val="000000" w:themeColor="text1"/>
          <w:u w:val="none"/>
        </w:rPr>
      </w:pPr>
    </w:p>
    <w:p w:rsidR="00C01800" w:rsidRPr="00D01B66" w:rsidRDefault="00D01B66" w:rsidP="00CA2942">
      <w:pPr>
        <w:rPr>
          <w:rStyle w:val="Hyperlink"/>
          <w:color w:val="000000" w:themeColor="text1"/>
          <w:u w:val="none"/>
        </w:rPr>
      </w:pPr>
      <w:r w:rsidRPr="00D01B66">
        <w:rPr>
          <w:rStyle w:val="Hyperlink"/>
          <w:color w:val="000000" w:themeColor="text1"/>
          <w:u w:val="none"/>
        </w:rPr>
        <w:t>Appet</w:t>
      </w:r>
      <w:r>
        <w:rPr>
          <w:rStyle w:val="Hyperlink"/>
          <w:color w:val="000000" w:themeColor="text1"/>
          <w:u w:val="none"/>
        </w:rPr>
        <w:t>ite enhancers for weaner</w:t>
      </w:r>
      <w:r w:rsidR="00CF4B1C">
        <w:rPr>
          <w:rStyle w:val="Hyperlink"/>
          <w:color w:val="000000" w:themeColor="text1"/>
          <w:u w:val="none"/>
        </w:rPr>
        <w:t>s</w:t>
      </w:r>
      <w:r>
        <w:rPr>
          <w:rStyle w:val="Hyperlink"/>
          <w:color w:val="000000" w:themeColor="text1"/>
          <w:u w:val="none"/>
        </w:rPr>
        <w:t xml:space="preserve"> and </w:t>
      </w:r>
      <w:r>
        <w:t>enrichment blocks for gestating sows and weaners may soon be on the productivity improvement ‘menus’ for Australia’s pork producers.</w:t>
      </w:r>
    </w:p>
    <w:p w:rsidR="00D01B66" w:rsidRDefault="00D01B66" w:rsidP="00C01800"/>
    <w:p w:rsidR="00D01B66" w:rsidRDefault="00D01B66" w:rsidP="00D01B66">
      <w:r>
        <w:t xml:space="preserve">According to Cooperative Research Centre for High Integrity Australian Pork (Pork CRC) Manager, Commercialisation and Research Impact, Charles Rikard-Bell, BEC Animal Nutrition will look to market the appetite enhancer in the first half of this year and commercialisation work for the enrichment blocks will continue throughout 2016. </w:t>
      </w:r>
    </w:p>
    <w:p w:rsidR="00D01B66" w:rsidRDefault="00D01B66" w:rsidP="00C01800"/>
    <w:p w:rsidR="00D01B66" w:rsidRDefault="00C01800" w:rsidP="00C01800">
      <w:r>
        <w:t xml:space="preserve">A second commercialisation study </w:t>
      </w:r>
      <w:r w:rsidR="00CF4B1C">
        <w:t xml:space="preserve">on a novel appetite enhancer based on the ingredient preferences of weaned pigs was completed </w:t>
      </w:r>
      <w:r>
        <w:t xml:space="preserve">in January 2016. </w:t>
      </w:r>
    </w:p>
    <w:p w:rsidR="00D01B66" w:rsidRDefault="00D01B66" w:rsidP="00C01800"/>
    <w:p w:rsidR="00CF4B1C" w:rsidRDefault="00C01800" w:rsidP="00C01800">
      <w:r>
        <w:t>Pork CRC</w:t>
      </w:r>
      <w:r w:rsidR="00CF4B1C">
        <w:t>,</w:t>
      </w:r>
      <w:r>
        <w:t xml:space="preserve"> in conjunction with BEC Animal Nutrition and University of Queensland</w:t>
      </w:r>
      <w:r w:rsidR="00CF4B1C">
        <w:t>,</w:t>
      </w:r>
      <w:r>
        <w:t xml:space="preserve"> </w:t>
      </w:r>
      <w:r w:rsidR="00CF4B1C">
        <w:t>has</w:t>
      </w:r>
      <w:r>
        <w:t xml:space="preserve"> focused on producin</w:t>
      </w:r>
      <w:r w:rsidR="00CF4B1C">
        <w:t>g</w:t>
      </w:r>
      <w:r>
        <w:t xml:space="preserve"> commercial quantities of </w:t>
      </w:r>
      <w:r w:rsidR="00A055FA">
        <w:t xml:space="preserve">the </w:t>
      </w:r>
      <w:r>
        <w:t xml:space="preserve">appetite enhancer </w:t>
      </w:r>
      <w:r w:rsidR="00CF4B1C">
        <w:t>which</w:t>
      </w:r>
      <w:r>
        <w:t xml:space="preserve"> would mix, transport and store easily. </w:t>
      </w:r>
    </w:p>
    <w:p w:rsidR="00CF4B1C" w:rsidRDefault="00CF4B1C" w:rsidP="00C01800"/>
    <w:p w:rsidR="00CF4B1C" w:rsidRDefault="00C01800" w:rsidP="00C01800">
      <w:r>
        <w:t>With these refinements made</w:t>
      </w:r>
      <w:r w:rsidR="00CF4B1C">
        <w:t>,</w:t>
      </w:r>
      <w:r>
        <w:t xml:space="preserve"> the enhancer was then tested on 21 day old weaned pigs for 28 days </w:t>
      </w:r>
      <w:r w:rsidR="00D41E41">
        <w:t>in commercial research facilities in Queensland.</w:t>
      </w:r>
      <w:r>
        <w:t xml:space="preserve"> </w:t>
      </w:r>
    </w:p>
    <w:p w:rsidR="00CF4B1C" w:rsidRDefault="00CF4B1C" w:rsidP="00C01800"/>
    <w:p w:rsidR="00CF4B1C" w:rsidRDefault="00CF4B1C" w:rsidP="00C01800">
      <w:r>
        <w:t xml:space="preserve">“We found that piglets fed a </w:t>
      </w:r>
      <w:r w:rsidR="00C01800">
        <w:t>simple</w:t>
      </w:r>
      <w:r>
        <w:t>,</w:t>
      </w:r>
      <w:r w:rsidR="00C01800">
        <w:t xml:space="preserve"> low cost weaner diet</w:t>
      </w:r>
      <w:r w:rsidR="00D1381F">
        <w:t>,</w:t>
      </w:r>
      <w:r w:rsidR="00C01800">
        <w:t xml:space="preserve"> </w:t>
      </w:r>
      <w:r>
        <w:t>plus</w:t>
      </w:r>
      <w:r w:rsidR="00C01800">
        <w:t xml:space="preserve"> the appetite enhancer</w:t>
      </w:r>
      <w:r>
        <w:t>,</w:t>
      </w:r>
      <w:r w:rsidR="00C01800">
        <w:t xml:space="preserve"> </w:t>
      </w:r>
      <w:r>
        <w:t>performed</w:t>
      </w:r>
      <w:r w:rsidR="00C01800">
        <w:t xml:space="preserve"> equivalent to piglets fed more complex</w:t>
      </w:r>
      <w:r>
        <w:t>,</w:t>
      </w:r>
      <w:r w:rsidR="00C01800">
        <w:t xml:space="preserve"> high cost diets</w:t>
      </w:r>
      <w:r w:rsidR="00D1381F">
        <w:t>,</w:t>
      </w:r>
      <w:r w:rsidR="00C01800">
        <w:t xml:space="preserve"> with or without the addition of the appetite enhancer</w:t>
      </w:r>
      <w:r>
        <w:t>,” Dr Rikard-Bell explained</w:t>
      </w:r>
      <w:r w:rsidR="00C01800">
        <w:t xml:space="preserve">. </w:t>
      </w:r>
    </w:p>
    <w:p w:rsidR="00CF4B1C" w:rsidRDefault="00CF4B1C" w:rsidP="00C01800"/>
    <w:p w:rsidR="001C279F" w:rsidRDefault="00CF4B1C" w:rsidP="00C01800">
      <w:r>
        <w:t>“We ar</w:t>
      </w:r>
      <w:r w:rsidR="00C01800">
        <w:t xml:space="preserve">e </w:t>
      </w:r>
      <w:r>
        <w:t xml:space="preserve">also </w:t>
      </w:r>
      <w:r w:rsidR="00C01800">
        <w:t xml:space="preserve">making inroads </w:t>
      </w:r>
      <w:r>
        <w:t>into</w:t>
      </w:r>
      <w:r w:rsidR="00C01800">
        <w:t xml:space="preserve"> develop</w:t>
      </w:r>
      <w:r w:rsidR="001C279F">
        <w:t>ing</w:t>
      </w:r>
      <w:r w:rsidR="00C01800">
        <w:t xml:space="preserve"> enrichment blocks for gestating sows and weaned pigs </w:t>
      </w:r>
      <w:r>
        <w:t xml:space="preserve">and Pork CRC has </w:t>
      </w:r>
      <w:r w:rsidR="001C279F">
        <w:t>now</w:t>
      </w:r>
      <w:r>
        <w:t xml:space="preserve"> submitted an international patent application</w:t>
      </w:r>
      <w:r w:rsidR="00C01800">
        <w:t>.</w:t>
      </w:r>
      <w:r w:rsidR="001C279F">
        <w:t>”</w:t>
      </w:r>
      <w:r w:rsidR="00C01800">
        <w:t xml:space="preserve"> </w:t>
      </w:r>
    </w:p>
    <w:p w:rsidR="001C279F" w:rsidRDefault="001C279F" w:rsidP="00C01800"/>
    <w:p w:rsidR="001C279F" w:rsidRDefault="00C01800" w:rsidP="00C01800">
      <w:r>
        <w:t>A large commercial study on group housed sows was completed in January 2016</w:t>
      </w:r>
      <w:r w:rsidR="001C279F">
        <w:t>,</w:t>
      </w:r>
      <w:r>
        <w:t xml:space="preserve"> with preliminary results showing exciting outcomes. </w:t>
      </w:r>
    </w:p>
    <w:p w:rsidR="001C279F" w:rsidRDefault="001C279F" w:rsidP="00C01800"/>
    <w:p w:rsidR="001C279F" w:rsidRDefault="001C279F" w:rsidP="00C01800">
      <w:r>
        <w:t>“</w:t>
      </w:r>
      <w:r w:rsidR="00C01800">
        <w:t xml:space="preserve">The prevalence of fresh scratch injuries significantly decreased on day </w:t>
      </w:r>
      <w:r>
        <w:t>three</w:t>
      </w:r>
      <w:r w:rsidR="00C01800">
        <w:t xml:space="preserve"> of mixing unfamiliar sows into group pens housed with either one or two enrichment blocks. </w:t>
      </w:r>
    </w:p>
    <w:p w:rsidR="001C279F" w:rsidRDefault="001C279F" w:rsidP="00C01800"/>
    <w:p w:rsidR="001C279F" w:rsidRDefault="001C279F" w:rsidP="00C01800">
      <w:r>
        <w:t>“</w:t>
      </w:r>
      <w:r w:rsidR="00C01800">
        <w:t>Additionally</w:t>
      </w:r>
      <w:r>
        <w:t>,</w:t>
      </w:r>
      <w:r w:rsidR="00C01800">
        <w:t xml:space="preserve"> enrichment block treatments increased threat behaviour</w:t>
      </w:r>
      <w:r>
        <w:t xml:space="preserve"> and i</w:t>
      </w:r>
      <w:r w:rsidR="00C01800">
        <w:t xml:space="preserve">t appears that this less aggressive, non-physical behaviour may be displayed as a </w:t>
      </w:r>
      <w:r>
        <w:t>way</w:t>
      </w:r>
      <w:r w:rsidR="00C01800">
        <w:t xml:space="preserve"> of guarding</w:t>
      </w:r>
      <w:r w:rsidR="00D7130B">
        <w:t xml:space="preserve"> </w:t>
      </w:r>
      <w:r w:rsidR="00C01800">
        <w:t xml:space="preserve">the supplement block </w:t>
      </w:r>
      <w:r>
        <w:t>when</w:t>
      </w:r>
      <w:r w:rsidR="00C01800">
        <w:t xml:space="preserve"> sows </w:t>
      </w:r>
      <w:r>
        <w:t xml:space="preserve">are being fed </w:t>
      </w:r>
      <w:r w:rsidR="00C01800">
        <w:t>in</w:t>
      </w:r>
      <w:r w:rsidR="00A055FA">
        <w:t xml:space="preserve"> pen</w:t>
      </w:r>
      <w:r w:rsidR="00D7130B">
        <w:t>s</w:t>
      </w:r>
      <w:r w:rsidR="00A055FA">
        <w:t xml:space="preserve"> fitted with</w:t>
      </w:r>
      <w:r w:rsidR="00C01800">
        <w:t xml:space="preserve"> head stalls</w:t>
      </w:r>
      <w:r>
        <w:t>,” Dr Rikard-Bell said</w:t>
      </w:r>
      <w:r w:rsidR="00C01800">
        <w:t xml:space="preserve">. </w:t>
      </w:r>
    </w:p>
    <w:p w:rsidR="00B85C05" w:rsidRPr="00DA59E2" w:rsidRDefault="004077A0">
      <w:pPr>
        <w:jc w:val="center"/>
      </w:pPr>
      <w:hyperlink r:id="rId8" w:history="1">
        <w:r w:rsidR="00B85C05" w:rsidRPr="00DA59E2">
          <w:rPr>
            <w:rStyle w:val="Hyperlink"/>
          </w:rPr>
          <w:t>www.porkcrc.com.au</w:t>
        </w:r>
      </w:hyperlink>
    </w:p>
    <w:p w:rsidR="00B85C05" w:rsidRPr="00DA59E2" w:rsidRDefault="00B85C05">
      <w:pPr>
        <w:jc w:val="center"/>
      </w:pPr>
    </w:p>
    <w:p w:rsidR="00B85C05" w:rsidRPr="00DA59E2" w:rsidRDefault="00B85C05">
      <w:pPr>
        <w:jc w:val="center"/>
      </w:pPr>
      <w:r w:rsidRPr="00DA59E2">
        <w:t xml:space="preserve">Authorised by Pork CRC and issued on its behalf by </w:t>
      </w:r>
    </w:p>
    <w:p w:rsidR="00712AE2" w:rsidRPr="00DA59E2" w:rsidRDefault="00712AE2" w:rsidP="00712AE2">
      <w:pPr>
        <w:jc w:val="center"/>
      </w:pPr>
      <w:r w:rsidRPr="00DA59E2">
        <w:t xml:space="preserve">Brendon Cant, </w:t>
      </w:r>
      <w:r w:rsidR="006F09C0">
        <w:t xml:space="preserve">Pork CRC Communications Manager, </w:t>
      </w:r>
      <w:r w:rsidR="00AF2C5D">
        <w:t>Mob 0417 930 536</w:t>
      </w:r>
      <w:r w:rsidRPr="00DA59E2">
        <w:t>.</w:t>
      </w:r>
    </w:p>
    <w:p w:rsidR="00B85C05" w:rsidRPr="00DA59E2" w:rsidRDefault="00B85C05">
      <w:pPr>
        <w:jc w:val="center"/>
      </w:pPr>
      <w:r w:rsidRPr="00DA59E2">
        <w:rPr>
          <w:b/>
          <w:bCs/>
        </w:rPr>
        <w:t>MEDIA CONTACT</w:t>
      </w:r>
      <w:r w:rsidR="003E04EB" w:rsidRPr="00DA59E2">
        <w:t xml:space="preserve">: </w:t>
      </w:r>
      <w:hyperlink r:id="rId9" w:history="1">
        <w:r w:rsidR="003E04EB" w:rsidRPr="006F09C0">
          <w:rPr>
            <w:rStyle w:val="Hyperlink"/>
            <w:color w:val="000000" w:themeColor="text1"/>
            <w:u w:val="none"/>
          </w:rPr>
          <w:t>Dr Roger Campbell</w:t>
        </w:r>
      </w:hyperlink>
      <w:r w:rsidR="002949E3">
        <w:t xml:space="preserve">, </w:t>
      </w:r>
      <w:r w:rsidR="00A67349">
        <w:t xml:space="preserve">Pork CRC CEO, </w:t>
      </w:r>
      <w:r w:rsidR="002949E3">
        <w:t>Mob</w:t>
      </w:r>
      <w:r w:rsidR="003E04EB" w:rsidRPr="00DA59E2">
        <w:t xml:space="preserve"> </w:t>
      </w:r>
      <w:r w:rsidRPr="00DA59E2">
        <w:t>0407 774 714.</w:t>
      </w:r>
    </w:p>
    <w:p w:rsidR="00B85C05" w:rsidRDefault="00CF4B1C">
      <w:pPr>
        <w:pStyle w:val="Balloo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Pork CRC Enrichment</w:t>
      </w:r>
      <w:r w:rsidR="005C0FD9">
        <w:rPr>
          <w:rFonts w:ascii="Times New Roman" w:hAnsi="Times New Roman" w:cs="Times New Roman"/>
        </w:rPr>
        <w:t>OK</w:t>
      </w:r>
      <w:r w:rsidR="00B85C05" w:rsidRPr="00DA59E2">
        <w:rPr>
          <w:rFonts w:ascii="Times New Roman" w:hAnsi="Times New Roman" w:cs="Times New Roman"/>
        </w:rPr>
        <w:t>.doc</w:t>
      </w:r>
      <w:r w:rsidR="00AF2C5D">
        <w:rPr>
          <w:rFonts w:ascii="Times New Roman" w:hAnsi="Times New Roman" w:cs="Times New Roman"/>
        </w:rPr>
        <w:t>x</w:t>
      </w:r>
      <w:r w:rsidR="00B85C05" w:rsidRPr="00DA59E2">
        <w:rPr>
          <w:rFonts w:ascii="Times New Roman" w:hAnsi="Times New Roman" w:cs="Times New Roman"/>
        </w:rPr>
        <w:t>/</w:t>
      </w:r>
      <w:r w:rsidR="00D7130B">
        <w:rPr>
          <w:rFonts w:ascii="Times New Roman" w:hAnsi="Times New Roman" w:cs="Times New Roman"/>
        </w:rPr>
        <w:t>RC010216</w:t>
      </w:r>
    </w:p>
    <w:p w:rsidR="00E470EE" w:rsidRDefault="00E470EE">
      <w:pPr>
        <w:pStyle w:val="BalloonText"/>
        <w:rPr>
          <w:rFonts w:ascii="Times New Roman" w:hAnsi="Times New Roman" w:cs="Times New Roman"/>
        </w:rPr>
      </w:pPr>
    </w:p>
    <w:p w:rsidR="00E470EE" w:rsidRDefault="00E470EE" w:rsidP="00E470EE">
      <w:pPr>
        <w:rPr>
          <w:sz w:val="22"/>
          <w:szCs w:val="22"/>
        </w:rPr>
      </w:pPr>
      <w:r>
        <w:t>ATTACHED IMAGE:</w:t>
      </w:r>
    </w:p>
    <w:p w:rsidR="000F43FC" w:rsidRDefault="00E23A9A" w:rsidP="00E23A9A">
      <w:pPr>
        <w:rPr>
          <w:b/>
        </w:rPr>
      </w:pPr>
      <w:r>
        <w:rPr>
          <w:b/>
          <w:bCs/>
        </w:rPr>
        <w:t>David Isaac BEC Feed Solutions Charles Rikard-Bell Pork CRC Tracy Muller Sunpork Farms.JPG:</w:t>
      </w:r>
      <w:r>
        <w:t xml:space="preserve"> Pork CRC Manager, Commercialisation and Research Impact, Dr Charles Rikard-Bell (centre) caught up with David Isaac, BEC Feed Solutions and Tracy Muller, Sunpork Farms, at </w:t>
      </w:r>
      <w:r>
        <w:rPr>
          <w:color w:val="1F497D"/>
        </w:rPr>
        <w:t xml:space="preserve"> </w:t>
      </w:r>
      <w:r>
        <w:rPr>
          <w:color w:val="000000" w:themeColor="text1"/>
        </w:rPr>
        <w:t>the 15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biennial conference of the Australasian Pig Science Association in Melbourne.</w:t>
      </w:r>
    </w:p>
    <w:sectPr w:rsidR="000F43FC" w:rsidSect="009F7C30">
      <w:headerReference w:type="default" r:id="rId10"/>
      <w:footerReference w:type="default" r:id="rId11"/>
      <w:pgSz w:w="11907" w:h="16840" w:code="9"/>
      <w:pgMar w:top="1797" w:right="1107" w:bottom="851" w:left="2268" w:header="68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B3" w:rsidRDefault="00DC7DB3">
      <w:r>
        <w:separator/>
      </w:r>
    </w:p>
  </w:endnote>
  <w:endnote w:type="continuationSeparator" w:id="0">
    <w:p w:rsidR="00DC7DB3" w:rsidRDefault="00D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05" w:rsidRDefault="00B85C05">
    <w:pPr>
      <w:pStyle w:val="Footer"/>
      <w:tabs>
        <w:tab w:val="clear" w:pos="8640"/>
        <w:tab w:val="right" w:pos="8280"/>
      </w:tabs>
      <w:ind w:left="-1080" w:right="-468"/>
      <w:jc w:val="center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B3" w:rsidRDefault="00DC7DB3">
      <w:r>
        <w:separator/>
      </w:r>
    </w:p>
  </w:footnote>
  <w:footnote w:type="continuationSeparator" w:id="0">
    <w:p w:rsidR="00DC7DB3" w:rsidRDefault="00DC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BC" w:rsidRDefault="00DA55DB" w:rsidP="009A1E6C">
    <w:pPr>
      <w:pStyle w:val="Header"/>
      <w:ind w:left="-1418"/>
    </w:pPr>
    <w:r>
      <w:rPr>
        <w:noProof/>
        <w:lang w:eastAsia="en-AU"/>
      </w:rPr>
      <w:drawing>
        <wp:inline distT="0" distB="0" distL="0" distR="0">
          <wp:extent cx="3335730" cy="555955"/>
          <wp:effectExtent l="0" t="0" r="0" b="0"/>
          <wp:docPr id="1" name="Picture 1" descr="C:\Users\brendon\AppData\Local\Microsoft\Windows\Temporary Internet Files\Content.Word\DIIS_CRC-Business-AusGov-Industr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ndon\AppData\Local\Microsoft\Windows\Temporary Internet Files\Content.Word\DIIS_CRC-Business-AusGov-Indust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038" cy="561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1BC">
      <w:t xml:space="preserve"> </w:t>
    </w:r>
    <w:r w:rsidR="00851339">
      <w:t xml:space="preserve">                      </w:t>
    </w:r>
    <w:r w:rsidR="00851339">
      <w:rPr>
        <w:noProof/>
        <w:lang w:eastAsia="en-AU"/>
      </w:rPr>
      <w:drawing>
        <wp:inline distT="0" distB="0" distL="0" distR="0">
          <wp:extent cx="1558137" cy="640588"/>
          <wp:effectExtent l="0" t="0" r="444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K-crc-SMALL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55" cy="63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1BC">
      <w:t xml:space="preserve">                                      </w:t>
    </w:r>
    <w:r w:rsidR="009A1E6C">
      <w:t xml:space="preserve">                              </w:t>
    </w:r>
  </w:p>
  <w:p w:rsidR="00B85C05" w:rsidRDefault="00A041BC" w:rsidP="00A041BC">
    <w:pPr>
      <w:pStyle w:val="Header"/>
      <w:jc w:val="right"/>
    </w:pPr>
    <w:r w:rsidRPr="00705B77">
      <w:rPr>
        <w:rFonts w:ascii="Trebuchet MS" w:hAnsi="Trebuchet MS"/>
        <w:color w:val="003359"/>
        <w:sz w:val="20"/>
      </w:rPr>
      <w:t>CRC for High Integrity Australian Pork</w:t>
    </w:r>
    <w:r w:rsidR="00CA2942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A6A882" wp14:editId="729B8047">
              <wp:simplePos x="0" y="0"/>
              <wp:positionH relativeFrom="column">
                <wp:posOffset>-1340485</wp:posOffset>
              </wp:positionH>
              <wp:positionV relativeFrom="paragraph">
                <wp:posOffset>828040</wp:posOffset>
              </wp:positionV>
              <wp:extent cx="1028700" cy="7429500"/>
              <wp:effectExtent l="254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42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C05" w:rsidRDefault="00B85C05">
                          <w:pPr>
                            <w:pStyle w:val="Heading2"/>
                          </w:pPr>
                          <w:r>
                            <w:t>Media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6A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5.55pt;margin-top:65.2pt;width:81pt;height:5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" filled="f" stroked="f">
              <v:textbox style="layout-flow:vertical;mso-layout-flow-alt:bottom-to-top">
                <w:txbxContent>
                  <w:p w:rsidR="00B85C05" w:rsidRDefault="00B85C05">
                    <w:pPr>
                      <w:pStyle w:val="Heading2"/>
                    </w:pPr>
                    <w: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4E0"/>
    <w:multiLevelType w:val="hybridMultilevel"/>
    <w:tmpl w:val="F2D47852"/>
    <w:lvl w:ilvl="0" w:tplc="76BE6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EAC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767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465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A4D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9A3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5E2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C0A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78A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A2754"/>
    <w:multiLevelType w:val="hybridMultilevel"/>
    <w:tmpl w:val="652805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A7489"/>
    <w:multiLevelType w:val="hybridMultilevel"/>
    <w:tmpl w:val="D49AD6F8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1657B1"/>
    <w:multiLevelType w:val="hybridMultilevel"/>
    <w:tmpl w:val="B502A368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D064C9"/>
    <w:multiLevelType w:val="hybridMultilevel"/>
    <w:tmpl w:val="79ECC8DA"/>
    <w:lvl w:ilvl="0" w:tplc="DA12F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F2A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944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421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C85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360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A4B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A16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B26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072CA"/>
    <w:multiLevelType w:val="hybridMultilevel"/>
    <w:tmpl w:val="17D8F8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19"/>
    <w:rsid w:val="00012363"/>
    <w:rsid w:val="00020F54"/>
    <w:rsid w:val="00062254"/>
    <w:rsid w:val="00072581"/>
    <w:rsid w:val="0009426F"/>
    <w:rsid w:val="000A1278"/>
    <w:rsid w:val="000B5C83"/>
    <w:rsid w:val="000E3928"/>
    <w:rsid w:val="000F43FC"/>
    <w:rsid w:val="00144D62"/>
    <w:rsid w:val="0015075E"/>
    <w:rsid w:val="00153031"/>
    <w:rsid w:val="00157091"/>
    <w:rsid w:val="001C279F"/>
    <w:rsid w:val="002101F5"/>
    <w:rsid w:val="00211D16"/>
    <w:rsid w:val="002900BC"/>
    <w:rsid w:val="00292AAF"/>
    <w:rsid w:val="002949E3"/>
    <w:rsid w:val="002C0D47"/>
    <w:rsid w:val="002D1954"/>
    <w:rsid w:val="002D76E1"/>
    <w:rsid w:val="003006C0"/>
    <w:rsid w:val="00311D2B"/>
    <w:rsid w:val="00337559"/>
    <w:rsid w:val="00393F5A"/>
    <w:rsid w:val="003C0282"/>
    <w:rsid w:val="003D0139"/>
    <w:rsid w:val="003E04EB"/>
    <w:rsid w:val="004077A0"/>
    <w:rsid w:val="00425934"/>
    <w:rsid w:val="00471419"/>
    <w:rsid w:val="00576776"/>
    <w:rsid w:val="005848D4"/>
    <w:rsid w:val="005A2D14"/>
    <w:rsid w:val="005C0FD9"/>
    <w:rsid w:val="005F2EF9"/>
    <w:rsid w:val="00630EA9"/>
    <w:rsid w:val="00633C90"/>
    <w:rsid w:val="006529C2"/>
    <w:rsid w:val="006A2493"/>
    <w:rsid w:val="006F09C0"/>
    <w:rsid w:val="00707C64"/>
    <w:rsid w:val="00712AE2"/>
    <w:rsid w:val="00715511"/>
    <w:rsid w:val="007377AE"/>
    <w:rsid w:val="00796C72"/>
    <w:rsid w:val="007A573F"/>
    <w:rsid w:val="008213D0"/>
    <w:rsid w:val="008444D4"/>
    <w:rsid w:val="00851339"/>
    <w:rsid w:val="009A1E6C"/>
    <w:rsid w:val="009D2AB4"/>
    <w:rsid w:val="009F7C30"/>
    <w:rsid w:val="00A041BC"/>
    <w:rsid w:val="00A055FA"/>
    <w:rsid w:val="00A61D50"/>
    <w:rsid w:val="00A67349"/>
    <w:rsid w:val="00A9769F"/>
    <w:rsid w:val="00AE1997"/>
    <w:rsid w:val="00AE5B69"/>
    <w:rsid w:val="00AF2C5D"/>
    <w:rsid w:val="00B2187D"/>
    <w:rsid w:val="00B56586"/>
    <w:rsid w:val="00B63039"/>
    <w:rsid w:val="00B8095A"/>
    <w:rsid w:val="00B85C05"/>
    <w:rsid w:val="00BA65ED"/>
    <w:rsid w:val="00BB1F03"/>
    <w:rsid w:val="00BC2953"/>
    <w:rsid w:val="00BF14A0"/>
    <w:rsid w:val="00C0090D"/>
    <w:rsid w:val="00C01800"/>
    <w:rsid w:val="00C40A19"/>
    <w:rsid w:val="00C61FB3"/>
    <w:rsid w:val="00C87E37"/>
    <w:rsid w:val="00CA2942"/>
    <w:rsid w:val="00CB4D11"/>
    <w:rsid w:val="00CC1A7E"/>
    <w:rsid w:val="00CC751C"/>
    <w:rsid w:val="00CE1E0B"/>
    <w:rsid w:val="00CF2E1C"/>
    <w:rsid w:val="00CF4B1C"/>
    <w:rsid w:val="00D01B66"/>
    <w:rsid w:val="00D1381F"/>
    <w:rsid w:val="00D359BB"/>
    <w:rsid w:val="00D41E41"/>
    <w:rsid w:val="00D7130B"/>
    <w:rsid w:val="00D75329"/>
    <w:rsid w:val="00DA55DB"/>
    <w:rsid w:val="00DA59E2"/>
    <w:rsid w:val="00DC205C"/>
    <w:rsid w:val="00DC68FF"/>
    <w:rsid w:val="00DC7DB3"/>
    <w:rsid w:val="00DD1CAA"/>
    <w:rsid w:val="00E12D67"/>
    <w:rsid w:val="00E23A9A"/>
    <w:rsid w:val="00E25949"/>
    <w:rsid w:val="00E470EE"/>
    <w:rsid w:val="00E9559C"/>
    <w:rsid w:val="00EC0120"/>
    <w:rsid w:val="00F5444B"/>
    <w:rsid w:val="00F7133F"/>
    <w:rsid w:val="00FA5EBD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63131B-0776-4016-8567-32BD1763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C30"/>
    <w:pPr>
      <w:keepNext/>
      <w:outlineLvl w:val="0"/>
    </w:pPr>
    <w:rPr>
      <w:rFonts w:ascii="Arial" w:eastAsia="Times" w:hAnsi="Arial" w:cs="Arial"/>
      <w:i/>
      <w:iCs/>
      <w:szCs w:val="20"/>
    </w:rPr>
  </w:style>
  <w:style w:type="paragraph" w:styleId="Heading2">
    <w:name w:val="heading 2"/>
    <w:basedOn w:val="Normal"/>
    <w:next w:val="Normal"/>
    <w:qFormat/>
    <w:rsid w:val="009F7C30"/>
    <w:pPr>
      <w:keepNext/>
      <w:jc w:val="right"/>
      <w:outlineLvl w:val="1"/>
    </w:pPr>
    <w:rPr>
      <w:rFonts w:ascii="Verdana" w:eastAsia="Times" w:hAnsi="Verdana" w:cs="Tahoma"/>
      <w:b/>
      <w:bCs/>
      <w:spacing w:val="200"/>
      <w:sz w:val="96"/>
      <w:szCs w:val="20"/>
      <w:lang w:val="en-US"/>
    </w:rPr>
  </w:style>
  <w:style w:type="paragraph" w:styleId="Heading3">
    <w:name w:val="heading 3"/>
    <w:basedOn w:val="Normal"/>
    <w:next w:val="Normal"/>
    <w:qFormat/>
    <w:rsid w:val="009F7C30"/>
    <w:pPr>
      <w:keepNext/>
      <w:jc w:val="center"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rsid w:val="009F7C30"/>
    <w:pPr>
      <w:keepNext/>
      <w:spacing w:before="120"/>
      <w:outlineLvl w:val="3"/>
    </w:pPr>
    <w:rPr>
      <w:rFonts w:ascii="Century Gothic" w:eastAsia="Times" w:hAnsi="Century Gothic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9F7C30"/>
    <w:pPr>
      <w:keepNext/>
      <w:jc w:val="center"/>
      <w:outlineLvl w:val="4"/>
    </w:pPr>
    <w:rPr>
      <w:rFonts w:ascii="Book Antiqua" w:hAnsi="Book Antiqua"/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rsid w:val="009F7C30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7C30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paragraph" w:styleId="Footer">
    <w:name w:val="footer"/>
    <w:basedOn w:val="Normal"/>
    <w:semiHidden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character" w:styleId="Hyperlink">
    <w:name w:val="Hyperlink"/>
    <w:basedOn w:val="DefaultParagraphFont"/>
    <w:semiHidden/>
    <w:rsid w:val="009F7C30"/>
    <w:rPr>
      <w:color w:val="0000FF"/>
      <w:u w:val="single"/>
    </w:rPr>
  </w:style>
  <w:style w:type="paragraph" w:styleId="BodyText">
    <w:name w:val="Body Text"/>
    <w:basedOn w:val="Normal"/>
    <w:semiHidden/>
    <w:rsid w:val="009F7C30"/>
    <w:pPr>
      <w:spacing w:before="120"/>
    </w:pPr>
    <w:rPr>
      <w:rFonts w:ascii="Univers 45 Light" w:eastAsia="Times" w:hAnsi="Univers 45 Light" w:cs="Arial"/>
      <w:sz w:val="22"/>
      <w:szCs w:val="20"/>
    </w:rPr>
  </w:style>
  <w:style w:type="paragraph" w:styleId="BodyText2">
    <w:name w:val="Body Text 2"/>
    <w:basedOn w:val="Normal"/>
    <w:semiHidden/>
    <w:rsid w:val="009F7C30"/>
    <w:rPr>
      <w:rFonts w:ascii="Century Gothic" w:hAnsi="Century Gothic"/>
      <w:i/>
      <w:iCs/>
      <w:szCs w:val="20"/>
    </w:rPr>
  </w:style>
  <w:style w:type="paragraph" w:styleId="BodyText3">
    <w:name w:val="Body Text 3"/>
    <w:basedOn w:val="Normal"/>
    <w:semiHidden/>
    <w:rsid w:val="009F7C30"/>
    <w:pPr>
      <w:ind w:right="-239"/>
    </w:pPr>
    <w:rPr>
      <w:lang w:val="en-US"/>
    </w:rPr>
  </w:style>
  <w:style w:type="paragraph" w:styleId="BalloonText">
    <w:name w:val="Balloon Text"/>
    <w:basedOn w:val="Normal"/>
    <w:semiHidden/>
    <w:rsid w:val="009F7C3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9F7C3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FollowedHyperlink">
    <w:name w:val="FollowedHyperlink"/>
    <w:basedOn w:val="DefaultParagraphFont"/>
    <w:semiHidden/>
    <w:rsid w:val="009F7C3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041BC"/>
    <w:rPr>
      <w:rFonts w:ascii="Univers 45 Light" w:eastAsia="Times" w:hAnsi="Univers 45 Light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B5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kcrc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er.campbell@porkcrc.com.au?subject=Media%20Relea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2A34-1F3F-4F1A-B5F5-5A5246A7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FC78B2D3.dotm</Template>
  <TotalTime>0</TotalTime>
  <Pages>2</Pages>
  <Words>391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December 2010</vt:lpstr>
    </vt:vector>
  </TitlesOfParts>
  <Company>Brendon Cant &amp; Associates</Company>
  <LinksUpToDate>false</LinksUpToDate>
  <CharactersWithSpaces>2765</CharactersWithSpaces>
  <SharedDoc>false</SharedDoc>
  <HyperlinkBase/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http://www.porkcrc.com.au/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December 2010</dc:title>
  <dc:creator>Brendon2</dc:creator>
  <cp:lastModifiedBy>Becky Smith</cp:lastModifiedBy>
  <cp:revision>2</cp:revision>
  <cp:lastPrinted>2016-02-04T00:07:00Z</cp:lastPrinted>
  <dcterms:created xsi:type="dcterms:W3CDTF">2016-02-04T03:12:00Z</dcterms:created>
  <dcterms:modified xsi:type="dcterms:W3CDTF">2016-02-04T03:12:00Z</dcterms:modified>
</cp:coreProperties>
</file>